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EC" w:rsidRPr="00150966" w:rsidRDefault="005B56EC" w:rsidP="00150966">
      <w:pPr>
        <w:spacing w:after="0" w:line="240" w:lineRule="auto"/>
        <w:jc w:val="center"/>
        <w:rPr>
          <w:rFonts w:ascii="Times New Roman" w:hAnsi="Times New Roman"/>
          <w:b/>
          <w:sz w:val="28"/>
          <w:szCs w:val="28"/>
          <w:lang w:val="uk-UA"/>
        </w:rPr>
      </w:pPr>
      <w:r w:rsidRPr="00150966">
        <w:rPr>
          <w:rFonts w:ascii="Times New Roman" w:hAnsi="Times New Roman"/>
          <w:b/>
          <w:sz w:val="28"/>
          <w:szCs w:val="28"/>
          <w:lang w:val="uk-UA"/>
        </w:rPr>
        <w:t>Пояснювальна  записка</w:t>
      </w:r>
    </w:p>
    <w:p w:rsidR="005B56EC" w:rsidRPr="00150966" w:rsidRDefault="005B56EC" w:rsidP="00150966">
      <w:pPr>
        <w:spacing w:after="0" w:line="240" w:lineRule="auto"/>
        <w:jc w:val="center"/>
        <w:rPr>
          <w:rFonts w:ascii="Times New Roman" w:hAnsi="Times New Roman"/>
          <w:b/>
          <w:i/>
          <w:sz w:val="28"/>
          <w:szCs w:val="28"/>
          <w:lang w:val="uk-UA"/>
        </w:rPr>
      </w:pPr>
      <w:r w:rsidRPr="00150966">
        <w:rPr>
          <w:rFonts w:ascii="Times New Roman" w:hAnsi="Times New Roman"/>
          <w:b/>
          <w:i/>
          <w:sz w:val="28"/>
          <w:szCs w:val="28"/>
          <w:lang w:val="uk-UA"/>
        </w:rPr>
        <w:t xml:space="preserve"> до фінансового плану  КНП НМР «СМСЧ м.Нетішин»</w:t>
      </w:r>
    </w:p>
    <w:p w:rsidR="005B56EC" w:rsidRPr="00150966" w:rsidRDefault="005B56EC" w:rsidP="00150966">
      <w:pPr>
        <w:spacing w:after="0" w:line="240" w:lineRule="auto"/>
        <w:jc w:val="center"/>
        <w:rPr>
          <w:rFonts w:ascii="Times New Roman" w:hAnsi="Times New Roman"/>
          <w:b/>
          <w:sz w:val="28"/>
          <w:szCs w:val="28"/>
          <w:lang w:val="uk-UA"/>
        </w:rPr>
      </w:pPr>
      <w:r w:rsidRPr="00150966">
        <w:rPr>
          <w:rFonts w:ascii="Times New Roman" w:hAnsi="Times New Roman"/>
          <w:b/>
          <w:sz w:val="28"/>
          <w:szCs w:val="28"/>
          <w:lang w:val="uk-UA"/>
        </w:rPr>
        <w:t xml:space="preserve"> на  2019 рік</w:t>
      </w:r>
    </w:p>
    <w:p w:rsidR="005B56EC" w:rsidRPr="00150966" w:rsidRDefault="005B56EC" w:rsidP="00150966">
      <w:pPr>
        <w:spacing w:after="0" w:line="240" w:lineRule="auto"/>
        <w:jc w:val="center"/>
        <w:rPr>
          <w:rFonts w:ascii="Times New Roman" w:hAnsi="Times New Roman"/>
          <w:b/>
          <w:sz w:val="28"/>
          <w:szCs w:val="28"/>
          <w:lang w:val="uk-UA"/>
        </w:rPr>
      </w:pPr>
    </w:p>
    <w:p w:rsidR="005B56EC" w:rsidRPr="00150966" w:rsidRDefault="005B56EC" w:rsidP="00150966">
      <w:pPr>
        <w:spacing w:after="0" w:line="240" w:lineRule="auto"/>
        <w:ind w:firstLine="708"/>
        <w:jc w:val="both"/>
        <w:rPr>
          <w:rFonts w:ascii="Times New Roman" w:hAnsi="Times New Roman"/>
          <w:sz w:val="28"/>
          <w:szCs w:val="28"/>
          <w:lang w:val="uk-UA"/>
        </w:rPr>
      </w:pPr>
      <w:r w:rsidRPr="00150966">
        <w:rPr>
          <w:rFonts w:ascii="Times New Roman" w:hAnsi="Times New Roman"/>
          <w:sz w:val="28"/>
          <w:szCs w:val="28"/>
          <w:lang w:val="uk-UA"/>
        </w:rPr>
        <w:t>Діяльність КНП НМР «СМСЧ м.Нетішин» здійснює на  підставі  Статуту,  що затверджений  рішенням сорок дев’ятої (позачергової) сесії Нетішинської міської ради VII скликання 28.12.201</w:t>
      </w:r>
      <w:r>
        <w:rPr>
          <w:rFonts w:ascii="Times New Roman" w:hAnsi="Times New Roman"/>
          <w:sz w:val="28"/>
          <w:szCs w:val="28"/>
          <w:lang w:val="uk-UA"/>
        </w:rPr>
        <w:t xml:space="preserve">8 </w:t>
      </w:r>
      <w:r w:rsidRPr="00150966">
        <w:rPr>
          <w:rFonts w:ascii="Times New Roman" w:hAnsi="Times New Roman"/>
          <w:sz w:val="28"/>
          <w:szCs w:val="28"/>
          <w:lang w:val="uk-UA"/>
        </w:rPr>
        <w:t>р</w:t>
      </w:r>
      <w:r>
        <w:rPr>
          <w:rFonts w:ascii="Times New Roman" w:hAnsi="Times New Roman"/>
          <w:sz w:val="28"/>
          <w:szCs w:val="28"/>
          <w:lang w:val="uk-UA"/>
        </w:rPr>
        <w:t>оку</w:t>
      </w:r>
      <w:r w:rsidRPr="00150966">
        <w:rPr>
          <w:rFonts w:ascii="Times New Roman" w:hAnsi="Times New Roman"/>
          <w:sz w:val="28"/>
          <w:szCs w:val="28"/>
          <w:lang w:val="uk-UA"/>
        </w:rPr>
        <w:t xml:space="preserve"> №49/3434. Підприємство створене на базі майна територіальної громади міста  Нетішин.</w:t>
      </w:r>
    </w:p>
    <w:p w:rsidR="005B56EC" w:rsidRPr="00150966" w:rsidRDefault="005B56EC" w:rsidP="00150966">
      <w:pPr>
        <w:spacing w:after="0" w:line="240" w:lineRule="auto"/>
        <w:ind w:firstLine="708"/>
        <w:jc w:val="both"/>
        <w:rPr>
          <w:rFonts w:ascii="Times New Roman" w:hAnsi="Times New Roman"/>
          <w:sz w:val="28"/>
          <w:szCs w:val="28"/>
          <w:lang w:val="uk-UA"/>
        </w:rPr>
      </w:pPr>
      <w:r w:rsidRPr="00150966">
        <w:rPr>
          <w:rFonts w:ascii="Times New Roman" w:hAnsi="Times New Roman"/>
          <w:sz w:val="28"/>
          <w:szCs w:val="28"/>
          <w:lang w:val="uk-UA"/>
        </w:rPr>
        <w:t>Види економічної діяльності  згідно КВЕД:</w:t>
      </w:r>
    </w:p>
    <w:p w:rsidR="005B56EC" w:rsidRPr="00150966" w:rsidRDefault="005B56EC" w:rsidP="00150966">
      <w:pPr>
        <w:spacing w:after="0" w:line="240" w:lineRule="auto"/>
        <w:ind w:firstLine="708"/>
        <w:jc w:val="both"/>
        <w:rPr>
          <w:rFonts w:ascii="Times New Roman" w:hAnsi="Times New Roman"/>
          <w:sz w:val="28"/>
          <w:szCs w:val="28"/>
          <w:lang w:val="uk-UA"/>
        </w:rPr>
      </w:pPr>
      <w:r w:rsidRPr="00150966">
        <w:rPr>
          <w:rFonts w:ascii="Times New Roman" w:hAnsi="Times New Roman"/>
          <w:sz w:val="28"/>
          <w:szCs w:val="28"/>
          <w:lang w:val="uk-UA"/>
        </w:rPr>
        <w:t>86.10 Діяльність лікарняних закладів; 86.22 Спеціалізована медична практика; 86.23 Стоматологічна практика.</w:t>
      </w:r>
    </w:p>
    <w:p w:rsidR="005B56EC" w:rsidRPr="00150966" w:rsidRDefault="005B56EC" w:rsidP="00150966">
      <w:pPr>
        <w:spacing w:after="0" w:line="240" w:lineRule="auto"/>
        <w:ind w:firstLine="708"/>
        <w:jc w:val="both"/>
        <w:rPr>
          <w:rFonts w:ascii="Times New Roman" w:hAnsi="Times New Roman"/>
          <w:sz w:val="28"/>
          <w:szCs w:val="28"/>
          <w:lang w:val="uk-UA"/>
        </w:rPr>
      </w:pPr>
      <w:r w:rsidRPr="00150966">
        <w:rPr>
          <w:rFonts w:ascii="Times New Roman" w:hAnsi="Times New Roman"/>
          <w:sz w:val="28"/>
          <w:szCs w:val="28"/>
          <w:lang w:val="uk-UA"/>
        </w:rPr>
        <w:t>Кількість штатних посад по КНП НМР «СМСЧ м.Нетішин» станом на 01.01.2019р. становить  499,5 одиниць по загальному фонду бюджету в т. ч.:</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Лікарі                                                                           - 104,25 од;</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Молодші спеціалісти з медичною освітою              - 190,5 од;</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Молодший медперсонал                                            - 107,0 од;</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 xml:space="preserve">Спеціалісти не медики                                               - 23,75 од; </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Інший персонал                                                           - 74,0 од.</w:t>
      </w:r>
    </w:p>
    <w:p w:rsidR="005B56EC" w:rsidRPr="00150966" w:rsidRDefault="005B56EC" w:rsidP="00150966">
      <w:pPr>
        <w:spacing w:after="0" w:line="240" w:lineRule="auto"/>
        <w:ind w:firstLine="708"/>
        <w:jc w:val="both"/>
        <w:rPr>
          <w:rFonts w:ascii="Times New Roman" w:hAnsi="Times New Roman"/>
          <w:sz w:val="28"/>
          <w:szCs w:val="28"/>
          <w:lang w:val="uk-UA"/>
        </w:rPr>
      </w:pPr>
      <w:r w:rsidRPr="00150966">
        <w:rPr>
          <w:rFonts w:ascii="Times New Roman" w:hAnsi="Times New Roman"/>
          <w:sz w:val="28"/>
          <w:szCs w:val="28"/>
          <w:lang w:val="uk-UA"/>
        </w:rPr>
        <w:t>Окрім того, 33,75 штатних одиниці за рахунок коштів, отриманих від надання медичних послуг в т.ч.:</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Лікарі                                                                           - 12,75 од;</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Молодші спеціалісти з медичною освітою              - 16,25 од;</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Молодший медперсонал                                            -  2,25 од;</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 xml:space="preserve">Спеціалісти не медики                                                - 1,75 од; </w:t>
      </w:r>
    </w:p>
    <w:p w:rsidR="005B56EC" w:rsidRPr="00150966" w:rsidRDefault="005B56EC" w:rsidP="00150966">
      <w:pPr>
        <w:spacing w:after="0" w:line="240" w:lineRule="auto"/>
        <w:ind w:firstLine="708"/>
        <w:rPr>
          <w:rFonts w:ascii="Times New Roman" w:hAnsi="Times New Roman"/>
          <w:sz w:val="28"/>
          <w:szCs w:val="28"/>
          <w:lang w:val="uk-UA"/>
        </w:rPr>
      </w:pPr>
      <w:r w:rsidRPr="00150966">
        <w:rPr>
          <w:rFonts w:ascii="Times New Roman" w:hAnsi="Times New Roman"/>
          <w:sz w:val="28"/>
          <w:szCs w:val="28"/>
          <w:lang w:val="uk-UA"/>
        </w:rPr>
        <w:t>Інший персонал                                                           -  0,75 од.</w:t>
      </w:r>
    </w:p>
    <w:p w:rsidR="005B56EC" w:rsidRPr="00150966" w:rsidRDefault="005B56EC" w:rsidP="00150966">
      <w:pPr>
        <w:spacing w:after="0" w:line="240" w:lineRule="auto"/>
        <w:ind w:firstLine="708"/>
        <w:jc w:val="both"/>
        <w:rPr>
          <w:rFonts w:ascii="Times New Roman" w:hAnsi="Times New Roman"/>
          <w:sz w:val="28"/>
          <w:szCs w:val="28"/>
          <w:lang w:val="uk-UA"/>
        </w:rPr>
      </w:pPr>
      <w:r w:rsidRPr="00150966">
        <w:rPr>
          <w:rFonts w:ascii="Times New Roman" w:hAnsi="Times New Roman"/>
          <w:sz w:val="28"/>
          <w:szCs w:val="28"/>
          <w:lang w:val="uk-UA"/>
        </w:rPr>
        <w:t xml:space="preserve"> Наданий на затвердження проект фінансового плану  КНП НМР «СМСЧ м.Нетішин» сформовано на  базі прогнозних розрахунків, фактичних  даних 2018р. та  очікуваних показників за 2019р., нормативних документів, діючих та прогнозних розцінок  на  виконання робіт(послуг), матеріалів, енергоносіїв,  рівня інфляції, тощо)</w:t>
      </w:r>
    </w:p>
    <w:p w:rsidR="005B56EC" w:rsidRPr="00150966" w:rsidRDefault="005B56EC" w:rsidP="00150966">
      <w:pPr>
        <w:spacing w:after="0" w:line="240" w:lineRule="auto"/>
        <w:ind w:firstLine="709"/>
        <w:jc w:val="both"/>
        <w:rPr>
          <w:rFonts w:ascii="Times New Roman" w:hAnsi="Times New Roman"/>
          <w:sz w:val="28"/>
          <w:szCs w:val="28"/>
          <w:lang w:val="uk-UA"/>
        </w:rPr>
      </w:pPr>
      <w:r w:rsidRPr="00150966">
        <w:rPr>
          <w:rFonts w:ascii="Times New Roman" w:hAnsi="Times New Roman"/>
          <w:sz w:val="28"/>
          <w:szCs w:val="28"/>
          <w:lang w:val="uk-UA"/>
        </w:rPr>
        <w:t>У фінансовому плані на 2019 рік заплановано отримати дохід  від реалізації продукції (товарів, робіт, послуг) рядок 1000 (основної таблиці)  2 859,75 тис.грн., в т.ч:</w:t>
      </w:r>
    </w:p>
    <w:p w:rsidR="005B56EC" w:rsidRPr="00150966" w:rsidRDefault="005B56EC" w:rsidP="00150966">
      <w:pPr>
        <w:spacing w:after="0" w:line="240" w:lineRule="auto"/>
        <w:ind w:firstLine="709"/>
        <w:jc w:val="both"/>
        <w:rPr>
          <w:rFonts w:ascii="Times New Roman" w:hAnsi="Times New Roman"/>
          <w:sz w:val="28"/>
          <w:szCs w:val="28"/>
          <w:lang w:val="uk-UA"/>
        </w:rPr>
      </w:pPr>
      <w:r w:rsidRPr="00150966">
        <w:rPr>
          <w:rFonts w:ascii="Times New Roman" w:hAnsi="Times New Roman"/>
          <w:sz w:val="28"/>
          <w:szCs w:val="28"/>
          <w:lang w:val="uk-UA"/>
        </w:rPr>
        <w:t>- кошти отримані від плати за послуги (медогляди)      -   2 490,00 тис. грн.</w:t>
      </w:r>
    </w:p>
    <w:p w:rsidR="005B56EC" w:rsidRPr="00150966" w:rsidRDefault="005B56EC" w:rsidP="00150966">
      <w:pPr>
        <w:spacing w:after="0" w:line="240" w:lineRule="auto"/>
        <w:ind w:firstLine="709"/>
        <w:jc w:val="both"/>
        <w:rPr>
          <w:rFonts w:ascii="Times New Roman" w:hAnsi="Times New Roman"/>
          <w:sz w:val="28"/>
          <w:szCs w:val="28"/>
          <w:lang w:val="uk-UA"/>
        </w:rPr>
      </w:pPr>
      <w:r w:rsidRPr="00150966">
        <w:rPr>
          <w:rFonts w:ascii="Times New Roman" w:hAnsi="Times New Roman"/>
          <w:sz w:val="28"/>
          <w:szCs w:val="28"/>
          <w:lang w:val="uk-UA"/>
        </w:rPr>
        <w:t>- кошти отримані від оренди майна                                 -      359,50 тис.грн.</w:t>
      </w:r>
    </w:p>
    <w:p w:rsidR="005B56EC" w:rsidRPr="00150966" w:rsidRDefault="005B56EC" w:rsidP="00150966">
      <w:pPr>
        <w:spacing w:after="0" w:line="240" w:lineRule="auto"/>
        <w:ind w:firstLine="709"/>
        <w:jc w:val="both"/>
        <w:rPr>
          <w:rFonts w:ascii="Times New Roman" w:hAnsi="Times New Roman"/>
          <w:sz w:val="28"/>
          <w:szCs w:val="28"/>
          <w:lang w:val="uk-UA"/>
        </w:rPr>
      </w:pPr>
      <w:r w:rsidRPr="00150966">
        <w:rPr>
          <w:rFonts w:ascii="Times New Roman" w:hAnsi="Times New Roman"/>
          <w:sz w:val="28"/>
          <w:szCs w:val="28"/>
          <w:lang w:val="uk-UA"/>
        </w:rPr>
        <w:t>- кошти отримані від реалізації майна                             -          3,75 тис.грн.</w:t>
      </w:r>
    </w:p>
    <w:p w:rsidR="005B56EC" w:rsidRPr="00150966" w:rsidRDefault="005B56EC" w:rsidP="00150966">
      <w:pPr>
        <w:spacing w:after="0" w:line="240" w:lineRule="auto"/>
        <w:ind w:firstLine="709"/>
        <w:jc w:val="both"/>
        <w:rPr>
          <w:rFonts w:ascii="Times New Roman" w:hAnsi="Times New Roman"/>
          <w:sz w:val="28"/>
          <w:szCs w:val="28"/>
          <w:lang w:val="uk-UA"/>
        </w:rPr>
      </w:pPr>
      <w:r w:rsidRPr="00150966">
        <w:rPr>
          <w:rFonts w:ascii="Times New Roman" w:hAnsi="Times New Roman"/>
          <w:sz w:val="28"/>
          <w:szCs w:val="28"/>
          <w:lang w:val="uk-UA"/>
        </w:rPr>
        <w:t>- кошти отримані від додаткової господарської діяльності (прання) -          6,50 тис.грн.</w:t>
      </w:r>
    </w:p>
    <w:p w:rsidR="005B56EC" w:rsidRPr="00150966" w:rsidRDefault="005B56EC" w:rsidP="00150966">
      <w:pPr>
        <w:spacing w:after="0" w:line="240" w:lineRule="auto"/>
        <w:jc w:val="both"/>
        <w:rPr>
          <w:rFonts w:ascii="Times New Roman" w:hAnsi="Times New Roman"/>
          <w:sz w:val="28"/>
          <w:szCs w:val="28"/>
          <w:lang w:val="uk-UA"/>
        </w:rPr>
      </w:pPr>
      <w:r w:rsidRPr="00150966">
        <w:rPr>
          <w:rFonts w:ascii="Times New Roman" w:hAnsi="Times New Roman"/>
          <w:sz w:val="28"/>
          <w:szCs w:val="28"/>
          <w:lang w:val="uk-UA"/>
        </w:rPr>
        <w:t xml:space="preserve"> інші доходи з місцевого бюджету, рядок 1150 ( основної таблиці)  на суму 77 965,76 тис. грн., а саме: </w:t>
      </w:r>
    </w:p>
    <w:p w:rsidR="005B56EC" w:rsidRPr="00150966" w:rsidRDefault="005B56EC" w:rsidP="00150966">
      <w:pPr>
        <w:pStyle w:val="ListParagraph"/>
        <w:numPr>
          <w:ilvl w:val="0"/>
          <w:numId w:val="3"/>
        </w:numPr>
        <w:spacing w:after="0" w:line="240" w:lineRule="auto"/>
        <w:ind w:left="0"/>
        <w:jc w:val="both"/>
        <w:rPr>
          <w:rFonts w:ascii="Times New Roman" w:hAnsi="Times New Roman"/>
          <w:sz w:val="28"/>
          <w:szCs w:val="28"/>
          <w:lang w:val="uk-UA"/>
        </w:rPr>
      </w:pPr>
      <w:r w:rsidRPr="00150966">
        <w:rPr>
          <w:rFonts w:ascii="Times New Roman" w:hAnsi="Times New Roman"/>
          <w:sz w:val="28"/>
          <w:szCs w:val="28"/>
          <w:lang w:val="uk-UA"/>
        </w:rPr>
        <w:t>65 203,21 тис.грн. фінансування з місцевого бюджету по Програмі "Поетапного покращення надання медичної допомоги населенню міста Нетішина та розвитку галузі охорони здоров'я на 2017-2020 роки";</w:t>
      </w:r>
    </w:p>
    <w:p w:rsidR="005B56EC" w:rsidRPr="00150966" w:rsidRDefault="005B56EC" w:rsidP="00150966">
      <w:pPr>
        <w:pStyle w:val="ListParagraph"/>
        <w:numPr>
          <w:ilvl w:val="0"/>
          <w:numId w:val="3"/>
        </w:numPr>
        <w:spacing w:after="0" w:line="240" w:lineRule="auto"/>
        <w:ind w:left="0"/>
        <w:jc w:val="both"/>
        <w:rPr>
          <w:rFonts w:ascii="Times New Roman" w:hAnsi="Times New Roman"/>
          <w:sz w:val="28"/>
          <w:szCs w:val="28"/>
          <w:lang w:val="uk-UA"/>
        </w:rPr>
      </w:pPr>
      <w:r w:rsidRPr="00150966">
        <w:rPr>
          <w:rFonts w:ascii="Times New Roman" w:hAnsi="Times New Roman"/>
          <w:sz w:val="28"/>
          <w:szCs w:val="28"/>
          <w:lang w:val="uk-UA"/>
        </w:rPr>
        <w:t xml:space="preserve">1 200,00 дохід з місцевого бюджету за  цільовими програмами (інсулін). </w:t>
      </w:r>
    </w:p>
    <w:p w:rsidR="005B56EC" w:rsidRPr="00150966" w:rsidRDefault="005B56EC" w:rsidP="00150966">
      <w:pPr>
        <w:pStyle w:val="ListParagraph"/>
        <w:numPr>
          <w:ilvl w:val="0"/>
          <w:numId w:val="3"/>
        </w:numPr>
        <w:spacing w:after="0" w:line="240" w:lineRule="auto"/>
        <w:ind w:left="0"/>
        <w:jc w:val="both"/>
        <w:rPr>
          <w:rFonts w:ascii="Times New Roman" w:hAnsi="Times New Roman"/>
          <w:sz w:val="28"/>
          <w:szCs w:val="28"/>
          <w:lang w:val="uk-UA"/>
        </w:rPr>
      </w:pPr>
      <w:r w:rsidRPr="00150966">
        <w:rPr>
          <w:rFonts w:ascii="Times New Roman" w:hAnsi="Times New Roman"/>
          <w:sz w:val="28"/>
          <w:szCs w:val="28"/>
          <w:lang w:val="uk-UA"/>
        </w:rPr>
        <w:t>43,00 тис грн. дохід з місцевого бюджету (на заходи оздоровлення для дітей)</w:t>
      </w:r>
    </w:p>
    <w:p w:rsidR="005B56EC" w:rsidRPr="00150966" w:rsidRDefault="005B56EC" w:rsidP="00150966">
      <w:pPr>
        <w:pStyle w:val="ListParagraph"/>
        <w:numPr>
          <w:ilvl w:val="0"/>
          <w:numId w:val="3"/>
        </w:numPr>
        <w:spacing w:after="0" w:line="240" w:lineRule="auto"/>
        <w:ind w:left="0"/>
        <w:jc w:val="both"/>
        <w:rPr>
          <w:rFonts w:ascii="Times New Roman" w:hAnsi="Times New Roman"/>
          <w:sz w:val="28"/>
          <w:szCs w:val="28"/>
          <w:lang w:val="uk-UA"/>
        </w:rPr>
      </w:pPr>
      <w:r w:rsidRPr="00150966">
        <w:rPr>
          <w:rFonts w:ascii="Times New Roman" w:hAnsi="Times New Roman"/>
          <w:sz w:val="28"/>
          <w:szCs w:val="28"/>
          <w:lang w:val="uk-UA"/>
        </w:rPr>
        <w:t>9 900,00 фінансування з місцевого бюджету на придбання обладнання і предметів довгострокового користування;</w:t>
      </w:r>
    </w:p>
    <w:p w:rsidR="005B56EC" w:rsidRPr="00150966" w:rsidRDefault="005B56EC" w:rsidP="00150966">
      <w:pPr>
        <w:pStyle w:val="ListParagraph"/>
        <w:numPr>
          <w:ilvl w:val="0"/>
          <w:numId w:val="3"/>
        </w:numPr>
        <w:spacing w:after="0" w:line="240" w:lineRule="auto"/>
        <w:ind w:left="0"/>
        <w:rPr>
          <w:rFonts w:ascii="Times New Roman" w:hAnsi="Times New Roman"/>
          <w:sz w:val="28"/>
          <w:szCs w:val="28"/>
          <w:lang w:val="uk-UA"/>
        </w:rPr>
      </w:pPr>
      <w:r w:rsidRPr="00150966">
        <w:rPr>
          <w:rFonts w:ascii="Times New Roman" w:hAnsi="Times New Roman"/>
          <w:sz w:val="28"/>
          <w:szCs w:val="28"/>
          <w:lang w:val="uk-UA"/>
        </w:rPr>
        <w:t>16,0 тис. грн. дохід від депозитних коштів на рахунках в банках;</w:t>
      </w:r>
    </w:p>
    <w:p w:rsidR="005B56EC" w:rsidRPr="00150966" w:rsidRDefault="005B56EC" w:rsidP="00150966">
      <w:pPr>
        <w:spacing w:after="0" w:line="240" w:lineRule="auto"/>
        <w:jc w:val="both"/>
        <w:rPr>
          <w:rFonts w:ascii="Times New Roman" w:hAnsi="Times New Roman"/>
          <w:sz w:val="28"/>
          <w:szCs w:val="28"/>
          <w:lang w:val="uk-UA"/>
        </w:rPr>
      </w:pPr>
      <w:r w:rsidRPr="00150966">
        <w:rPr>
          <w:rFonts w:ascii="Times New Roman" w:hAnsi="Times New Roman"/>
          <w:sz w:val="28"/>
          <w:szCs w:val="28"/>
          <w:lang w:val="uk-UA"/>
        </w:rPr>
        <w:t xml:space="preserve">-  1 520,84 тис. грн. та 82,71 тис. грн. (з суми придбання предметів довгострокового користування) визнаний  дохід від цільового фінансування капітальних інвестицій, пропорційно сумі нарахованої амортизації п.18 П БО  15 «Дохід». </w:t>
      </w:r>
    </w:p>
    <w:p w:rsidR="005B56EC" w:rsidRPr="00150966" w:rsidRDefault="005B56EC" w:rsidP="00150966">
      <w:pPr>
        <w:spacing w:after="0" w:line="240" w:lineRule="auto"/>
        <w:jc w:val="center"/>
        <w:rPr>
          <w:rFonts w:ascii="Times New Roman" w:hAnsi="Times New Roman"/>
          <w:b/>
          <w:sz w:val="28"/>
          <w:szCs w:val="28"/>
          <w:lang w:val="uk-UA"/>
        </w:rPr>
      </w:pPr>
      <w:r w:rsidRPr="00150966">
        <w:rPr>
          <w:rFonts w:ascii="Times New Roman" w:hAnsi="Times New Roman"/>
          <w:b/>
          <w:sz w:val="28"/>
          <w:szCs w:val="28"/>
          <w:lang w:val="uk-UA"/>
        </w:rPr>
        <w:t>Витратна частина фінансового плану на 2019 рік:</w:t>
      </w:r>
    </w:p>
    <w:p w:rsidR="005B56EC" w:rsidRPr="00150966" w:rsidRDefault="005B56EC" w:rsidP="00150966">
      <w:pPr>
        <w:tabs>
          <w:tab w:val="left" w:pos="825"/>
        </w:tabs>
        <w:spacing w:after="0" w:line="240" w:lineRule="auto"/>
        <w:rPr>
          <w:rFonts w:ascii="Times New Roman" w:hAnsi="Times New Roman"/>
          <w:b/>
          <w:sz w:val="28"/>
          <w:szCs w:val="28"/>
          <w:lang w:val="uk-UA"/>
        </w:rPr>
      </w:pPr>
      <w:r w:rsidRPr="00150966">
        <w:rPr>
          <w:rFonts w:ascii="Times New Roman" w:hAnsi="Times New Roman"/>
          <w:b/>
          <w:sz w:val="28"/>
          <w:szCs w:val="28"/>
          <w:lang w:val="uk-UA"/>
        </w:rPr>
        <w:tab/>
      </w:r>
      <w:r w:rsidRPr="00150966">
        <w:rPr>
          <w:rFonts w:ascii="Times New Roman" w:hAnsi="Times New Roman"/>
          <w:sz w:val="28"/>
          <w:szCs w:val="28"/>
          <w:lang w:val="uk-UA"/>
        </w:rPr>
        <w:t xml:space="preserve">Собівартість наданих послуг, рядок 1150 ( основної таблиці)  становить сума </w:t>
      </w:r>
      <w:r w:rsidRPr="00150966">
        <w:rPr>
          <w:rFonts w:ascii="Times New Roman" w:hAnsi="Times New Roman"/>
          <w:b/>
          <w:sz w:val="28"/>
          <w:szCs w:val="28"/>
          <w:lang w:val="uk-UA"/>
        </w:rPr>
        <w:t>2 859,75</w:t>
      </w:r>
      <w:r w:rsidRPr="00150966">
        <w:rPr>
          <w:rFonts w:ascii="Times New Roman" w:hAnsi="Times New Roman"/>
          <w:sz w:val="28"/>
          <w:szCs w:val="28"/>
          <w:lang w:val="uk-UA"/>
        </w:rPr>
        <w:t xml:space="preserve"> тис.грн.</w:t>
      </w:r>
    </w:p>
    <w:p w:rsidR="005B56EC" w:rsidRDefault="005B56EC" w:rsidP="00150966">
      <w:pPr>
        <w:spacing w:after="0" w:line="240" w:lineRule="auto"/>
        <w:jc w:val="center"/>
        <w:rPr>
          <w:rFonts w:ascii="Times New Roman" w:hAnsi="Times New Roman"/>
          <w:b/>
          <w:sz w:val="28"/>
          <w:szCs w:val="28"/>
          <w:lang w:val="uk-UA"/>
        </w:rPr>
      </w:pPr>
    </w:p>
    <w:p w:rsidR="005B56EC" w:rsidRDefault="005B56EC" w:rsidP="00150966">
      <w:pPr>
        <w:spacing w:after="0" w:line="240" w:lineRule="auto"/>
        <w:jc w:val="center"/>
        <w:rPr>
          <w:rFonts w:ascii="Times New Roman" w:hAnsi="Times New Roman"/>
          <w:b/>
          <w:sz w:val="28"/>
          <w:szCs w:val="28"/>
          <w:lang w:val="uk-UA"/>
        </w:rPr>
      </w:pPr>
      <w:r w:rsidRPr="00150966">
        <w:rPr>
          <w:rFonts w:ascii="Times New Roman" w:hAnsi="Times New Roman"/>
          <w:b/>
          <w:sz w:val="28"/>
          <w:szCs w:val="28"/>
          <w:lang w:val="uk-UA"/>
        </w:rPr>
        <w:t>До адміністративних витрат ( код рядка 1030) включено витрати:</w:t>
      </w:r>
    </w:p>
    <w:p w:rsidR="005B56EC" w:rsidRPr="00150966" w:rsidRDefault="005B56EC" w:rsidP="00150966">
      <w:pPr>
        <w:spacing w:after="0" w:line="240" w:lineRule="auto"/>
        <w:jc w:val="center"/>
        <w:rPr>
          <w:rFonts w:ascii="Times New Roman" w:hAnsi="Times New Roman"/>
          <w:b/>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7087"/>
        <w:gridCol w:w="1559"/>
      </w:tblGrid>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 з/п</w:t>
            </w:r>
          </w:p>
        </w:tc>
        <w:tc>
          <w:tcPr>
            <w:tcW w:w="7087"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Стаття    витрат</w:t>
            </w:r>
          </w:p>
          <w:p w:rsidR="005B56EC" w:rsidRPr="00150966" w:rsidRDefault="005B56EC" w:rsidP="00150966">
            <w:pPr>
              <w:spacing w:after="0" w:line="240" w:lineRule="auto"/>
              <w:jc w:val="center"/>
              <w:rPr>
                <w:rFonts w:ascii="Times New Roman" w:hAnsi="Times New Roman"/>
                <w:sz w:val="24"/>
                <w:szCs w:val="24"/>
                <w:lang w:val="uk-UA"/>
              </w:rPr>
            </w:pPr>
          </w:p>
        </w:tc>
        <w:tc>
          <w:tcPr>
            <w:tcW w:w="1559"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План 2019рік, тис.грн.</w:t>
            </w:r>
          </w:p>
        </w:tc>
      </w:tr>
      <w:tr w:rsidR="005B56EC" w:rsidRPr="00150966" w:rsidTr="00F65FEE">
        <w:trPr>
          <w:trHeight w:val="279"/>
        </w:trPr>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w:t>
            </w:r>
          </w:p>
        </w:tc>
        <w:tc>
          <w:tcPr>
            <w:tcW w:w="7087"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пов'язані з використанням власних службових автомобілів</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40,00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2</w:t>
            </w:r>
          </w:p>
        </w:tc>
        <w:tc>
          <w:tcPr>
            <w:tcW w:w="7087" w:type="dxa"/>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на службові відрядження</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на зв’язок</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107,20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4</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на оплату праці</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5 200,00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відрахування на соціальні заходи</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1 144,00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6</w:t>
            </w:r>
          </w:p>
        </w:tc>
        <w:tc>
          <w:tcPr>
            <w:tcW w:w="7087" w:type="dxa"/>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амортизація основних засобів і нематеріальних активів</w:t>
            </w:r>
            <w:r w:rsidRPr="00150966">
              <w:rPr>
                <w:rFonts w:ascii="Times New Roman" w:hAnsi="Times New Roman"/>
                <w:b/>
                <w:bCs/>
                <w:sz w:val="24"/>
                <w:szCs w:val="24"/>
                <w:lang w:val="uk-UA"/>
              </w:rPr>
              <w:t xml:space="preserve"> </w:t>
            </w:r>
            <w:r w:rsidRPr="00150966">
              <w:rPr>
                <w:rFonts w:ascii="Times New Roman" w:hAnsi="Times New Roman"/>
                <w:bCs/>
                <w:sz w:val="24"/>
                <w:szCs w:val="24"/>
                <w:lang w:val="uk-UA"/>
              </w:rPr>
              <w:t>загальногосподарського призначення</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1 520,84</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7</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амортизація основних засобів і нематеріальних активів</w:t>
            </w:r>
            <w:r w:rsidRPr="00150966">
              <w:rPr>
                <w:rFonts w:ascii="Times New Roman" w:hAnsi="Times New Roman"/>
                <w:bCs/>
                <w:sz w:val="24"/>
                <w:szCs w:val="24"/>
                <w:lang w:val="uk-UA"/>
              </w:rPr>
              <w:t xml:space="preserve"> загальногосподарського призначення (суми придбання предметів довгострокового користування)</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82,71</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8</w:t>
            </w:r>
          </w:p>
        </w:tc>
        <w:tc>
          <w:tcPr>
            <w:tcW w:w="7087"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юридичні послуги</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4,00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w:t>
            </w:r>
          </w:p>
        </w:tc>
        <w:tc>
          <w:tcPr>
            <w:tcW w:w="7087" w:type="dxa"/>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оплата послуг (крім комунальних), а саме: послуги з охорони, видавничі, банківські, поштові послуги</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35,06</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10</w:t>
            </w:r>
          </w:p>
        </w:tc>
        <w:tc>
          <w:tcPr>
            <w:tcW w:w="7087" w:type="dxa"/>
            <w:tcBorders>
              <w:top w:val="nil"/>
              <w:left w:val="single" w:sz="8" w:space="0" w:color="auto"/>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на оплату послуг в т.ч. (встановлення та  обслуговування  програми)</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126,75</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11</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прокат пасажирських транпортних засобів (перевезення персоналу)</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3,70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12</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ремонт комп'ютерної техніки (в т.ч. заправка картриджів)</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14,00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13</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програмне забезпечення, електронні підписи</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9,63</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14</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придбання канцелярських товарів, реєстраційних журналів, передплата періодичних видань</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90,00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15</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послуги з перереєстрації автомобілів</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16</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довідки, витяг, ліцензія</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17</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сплата податків: земельний податок</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53,03</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18</w:t>
            </w:r>
          </w:p>
        </w:tc>
        <w:tc>
          <w:tcPr>
            <w:tcW w:w="7087"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придбання мийних засобів</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19</w:t>
            </w:r>
          </w:p>
        </w:tc>
        <w:tc>
          <w:tcPr>
            <w:tcW w:w="7087" w:type="dxa"/>
            <w:tcBorders>
              <w:top w:val="nil"/>
              <w:left w:val="single" w:sz="8" w:space="0" w:color="auto"/>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предмети, матеріали, обладнання та інвентар (витрати пов'язані з утриманням приміщень)</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85,00</w:t>
            </w:r>
          </w:p>
        </w:tc>
      </w:tr>
      <w:tr w:rsidR="005B56EC" w:rsidRPr="00150966" w:rsidTr="00F65FEE">
        <w:tc>
          <w:tcPr>
            <w:tcW w:w="988"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20</w:t>
            </w:r>
          </w:p>
        </w:tc>
        <w:tc>
          <w:tcPr>
            <w:tcW w:w="7087" w:type="dxa"/>
            <w:tcBorders>
              <w:top w:val="nil"/>
              <w:left w:val="single" w:sz="8" w:space="0" w:color="auto"/>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предмети, матеріали, обладнання та інвентар (комп'ютерне обладнання)</w:t>
            </w:r>
          </w:p>
        </w:tc>
        <w:tc>
          <w:tcPr>
            <w:tcW w:w="1559"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64,00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p>
        </w:tc>
        <w:tc>
          <w:tcPr>
            <w:tcW w:w="7087" w:type="dxa"/>
          </w:tcPr>
          <w:p w:rsidR="005B56EC" w:rsidRPr="00150966" w:rsidRDefault="005B56EC" w:rsidP="00150966">
            <w:pPr>
              <w:spacing w:after="0" w:line="240" w:lineRule="auto"/>
              <w:rPr>
                <w:rFonts w:ascii="Times New Roman" w:hAnsi="Times New Roman"/>
                <w:b/>
                <w:sz w:val="24"/>
                <w:szCs w:val="24"/>
                <w:lang w:val="uk-UA"/>
              </w:rPr>
            </w:pPr>
            <w:r w:rsidRPr="00150966">
              <w:rPr>
                <w:rFonts w:ascii="Times New Roman" w:hAnsi="Times New Roman"/>
                <w:b/>
                <w:sz w:val="24"/>
                <w:szCs w:val="24"/>
                <w:lang w:val="uk-UA"/>
              </w:rPr>
              <w:t>Всього  адміністративних витрат</w:t>
            </w:r>
          </w:p>
        </w:tc>
        <w:tc>
          <w:tcPr>
            <w:tcW w:w="1559" w:type="dxa"/>
          </w:tcPr>
          <w:p w:rsidR="005B56EC" w:rsidRPr="00150966" w:rsidRDefault="005B56EC" w:rsidP="00150966">
            <w:pPr>
              <w:spacing w:after="0" w:line="240" w:lineRule="auto"/>
              <w:jc w:val="center"/>
              <w:rPr>
                <w:rFonts w:ascii="Times New Roman" w:hAnsi="Times New Roman"/>
                <w:b/>
                <w:sz w:val="24"/>
                <w:szCs w:val="24"/>
                <w:lang w:val="uk-UA"/>
              </w:rPr>
            </w:pPr>
            <w:r w:rsidRPr="00150966">
              <w:rPr>
                <w:rFonts w:ascii="Times New Roman" w:hAnsi="Times New Roman"/>
                <w:b/>
                <w:sz w:val="24"/>
                <w:szCs w:val="24"/>
                <w:lang w:val="uk-UA"/>
              </w:rPr>
              <w:t>8 595,92</w:t>
            </w:r>
          </w:p>
        </w:tc>
      </w:tr>
    </w:tbl>
    <w:p w:rsidR="005B56EC" w:rsidRPr="00150966" w:rsidRDefault="005B56EC" w:rsidP="00150966">
      <w:pPr>
        <w:spacing w:after="0" w:line="240" w:lineRule="auto"/>
        <w:jc w:val="center"/>
        <w:rPr>
          <w:rFonts w:ascii="Times New Roman" w:hAnsi="Times New Roman"/>
          <w:b/>
          <w:sz w:val="28"/>
          <w:szCs w:val="28"/>
          <w:lang w:val="uk-UA"/>
        </w:rPr>
      </w:pPr>
    </w:p>
    <w:p w:rsidR="005B56EC" w:rsidRPr="00150966" w:rsidRDefault="005B56EC" w:rsidP="00150966">
      <w:pPr>
        <w:spacing w:after="0" w:line="240" w:lineRule="auto"/>
        <w:rPr>
          <w:rFonts w:ascii="Times New Roman" w:hAnsi="Times New Roman"/>
          <w:b/>
          <w:sz w:val="28"/>
          <w:szCs w:val="28"/>
          <w:lang w:val="uk-UA"/>
        </w:rPr>
      </w:pPr>
    </w:p>
    <w:p w:rsidR="005B56EC" w:rsidRDefault="005B56EC" w:rsidP="00150966">
      <w:pPr>
        <w:spacing w:after="0" w:line="240" w:lineRule="auto"/>
        <w:rPr>
          <w:rFonts w:ascii="Times New Roman" w:hAnsi="Times New Roman"/>
          <w:b/>
          <w:sz w:val="28"/>
          <w:szCs w:val="28"/>
          <w:lang w:val="uk-UA"/>
        </w:rPr>
      </w:pPr>
      <w:bookmarkStart w:id="0" w:name="_GoBack"/>
      <w:bookmarkEnd w:id="0"/>
      <w:r w:rsidRPr="00150966">
        <w:rPr>
          <w:rFonts w:ascii="Times New Roman" w:hAnsi="Times New Roman"/>
          <w:b/>
          <w:sz w:val="28"/>
          <w:szCs w:val="28"/>
          <w:lang w:val="uk-UA"/>
        </w:rPr>
        <w:t xml:space="preserve">                   До інших  витрат ( код рядка 1160) включено витрати:</w:t>
      </w:r>
    </w:p>
    <w:p w:rsidR="005B56EC" w:rsidRPr="00AE5C2C" w:rsidRDefault="005B56EC" w:rsidP="00150966">
      <w:pPr>
        <w:spacing w:after="0" w:line="240" w:lineRule="auto"/>
        <w:rPr>
          <w:rFonts w:ascii="Times New Roman" w:hAnsi="Times New Roman"/>
          <w:sz w:val="16"/>
          <w:szCs w:val="1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701"/>
      </w:tblGrid>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 з/п</w:t>
            </w:r>
          </w:p>
        </w:tc>
        <w:tc>
          <w:tcPr>
            <w:tcW w:w="6804"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Стаття  витрат</w:t>
            </w:r>
          </w:p>
        </w:tc>
        <w:tc>
          <w:tcPr>
            <w:tcW w:w="1701"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План 2019рік,     тис.грн.</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w:t>
            </w:r>
          </w:p>
        </w:tc>
        <w:tc>
          <w:tcPr>
            <w:tcW w:w="6804" w:type="dxa"/>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за  цільовими програмами (інсулін)</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1 200,00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2</w:t>
            </w:r>
          </w:p>
        </w:tc>
        <w:tc>
          <w:tcPr>
            <w:tcW w:w="6804" w:type="dxa"/>
            <w:tcBorders>
              <w:top w:val="nil"/>
              <w:left w:val="single" w:sz="8" w:space="0" w:color="000000"/>
              <w:bottom w:val="single" w:sz="4" w:space="0" w:color="000000"/>
              <w:right w:val="single" w:sz="4" w:space="0" w:color="000000"/>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на заходи оздоровлення  (придбання путівок на оздоровлення дітей)</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43,00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3</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витрати на оплату праці</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3 6591,19</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4</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відрахування на соціальні заходи</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8 020,00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5</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медикаменти та перев'язувальні матеріали</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5 018,00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6</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продукти харчування</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1 939,00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7</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оплата комунальних послуг та енергоносіїв, в т.ч.:</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3 999,00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8</w:t>
            </w:r>
          </w:p>
        </w:tc>
        <w:tc>
          <w:tcPr>
            <w:tcW w:w="6804" w:type="dxa"/>
            <w:tcBorders>
              <w:top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оплата теплопостачання</w:t>
            </w:r>
          </w:p>
        </w:tc>
        <w:tc>
          <w:tcPr>
            <w:tcW w:w="1701" w:type="dxa"/>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1 111,94</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9</w:t>
            </w:r>
          </w:p>
        </w:tc>
        <w:tc>
          <w:tcPr>
            <w:tcW w:w="6804" w:type="dxa"/>
            <w:tcBorders>
              <w:top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оплата водопостачання та водовідведення</w:t>
            </w:r>
          </w:p>
        </w:tc>
        <w:tc>
          <w:tcPr>
            <w:tcW w:w="1701" w:type="dxa"/>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801,30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10</w:t>
            </w:r>
          </w:p>
        </w:tc>
        <w:tc>
          <w:tcPr>
            <w:tcW w:w="6804" w:type="dxa"/>
            <w:tcBorders>
              <w:top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оплата електроенергії</w:t>
            </w:r>
          </w:p>
        </w:tc>
        <w:tc>
          <w:tcPr>
            <w:tcW w:w="1701" w:type="dxa"/>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2 085,76</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11</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соціальне забезпечення</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636,35</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12</w:t>
            </w:r>
          </w:p>
        </w:tc>
        <w:tc>
          <w:tcPr>
            <w:tcW w:w="6804" w:type="dxa"/>
            <w:tcBorders>
              <w:left w:val="single" w:sz="8" w:space="0" w:color="auto"/>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предмети, матеріали, обладнання та інвентар в т.ч.:</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1 441,30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13</w:t>
            </w:r>
          </w:p>
        </w:tc>
        <w:tc>
          <w:tcPr>
            <w:tcW w:w="6804" w:type="dxa"/>
            <w:tcBorders>
              <w:top w:val="nil"/>
              <w:left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 xml:space="preserve"> душові кабіни</w:t>
            </w:r>
          </w:p>
        </w:tc>
        <w:tc>
          <w:tcPr>
            <w:tcW w:w="1701" w:type="dxa"/>
            <w:vAlign w:val="center"/>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15,00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14</w:t>
            </w:r>
          </w:p>
        </w:tc>
        <w:tc>
          <w:tcPr>
            <w:tcW w:w="6804" w:type="dxa"/>
            <w:tcBorders>
              <w:top w:val="nil"/>
              <w:left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ліжка, стільці, тумбочки, матраци</w:t>
            </w:r>
          </w:p>
        </w:tc>
        <w:tc>
          <w:tcPr>
            <w:tcW w:w="1701" w:type="dxa"/>
            <w:tcBorders>
              <w:top w:val="nil"/>
            </w:tcBorders>
            <w:vAlign w:val="center"/>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340,00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15</w:t>
            </w:r>
          </w:p>
        </w:tc>
        <w:tc>
          <w:tcPr>
            <w:tcW w:w="6804" w:type="dxa"/>
            <w:tcBorders>
              <w:top w:val="nil"/>
              <w:left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ручні електричні інструменти</w:t>
            </w:r>
          </w:p>
        </w:tc>
        <w:tc>
          <w:tcPr>
            <w:tcW w:w="1701" w:type="dxa"/>
            <w:tcBorders>
              <w:top w:val="nil"/>
            </w:tcBorders>
            <w:vAlign w:val="center"/>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10,00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16</w:t>
            </w:r>
          </w:p>
        </w:tc>
        <w:tc>
          <w:tcPr>
            <w:tcW w:w="6804" w:type="dxa"/>
            <w:tcBorders>
              <w:top w:val="nil"/>
              <w:left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електротовари</w:t>
            </w:r>
          </w:p>
        </w:tc>
        <w:tc>
          <w:tcPr>
            <w:tcW w:w="1701" w:type="dxa"/>
            <w:tcBorders>
              <w:top w:val="nil"/>
            </w:tcBorders>
            <w:vAlign w:val="center"/>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20,00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17</w:t>
            </w:r>
          </w:p>
        </w:tc>
        <w:tc>
          <w:tcPr>
            <w:tcW w:w="6804" w:type="dxa"/>
            <w:tcBorders>
              <w:top w:val="nil"/>
              <w:left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комп'ютерне обладнання (прінтери)</w:t>
            </w:r>
          </w:p>
        </w:tc>
        <w:tc>
          <w:tcPr>
            <w:tcW w:w="1701" w:type="dxa"/>
            <w:tcBorders>
              <w:top w:val="nil"/>
            </w:tcBorders>
            <w:vAlign w:val="center"/>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70,00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18</w:t>
            </w:r>
          </w:p>
        </w:tc>
        <w:tc>
          <w:tcPr>
            <w:tcW w:w="6804" w:type="dxa"/>
            <w:tcBorders>
              <w:top w:val="nil"/>
              <w:left w:val="nil"/>
            </w:tcBorders>
            <w:vAlign w:val="center"/>
          </w:tcPr>
          <w:p w:rsidR="005B56EC" w:rsidRPr="00150966" w:rsidRDefault="005B56EC" w:rsidP="00150966">
            <w:pPr>
              <w:spacing w:after="0" w:line="240" w:lineRule="auto"/>
              <w:rPr>
                <w:rFonts w:ascii="Times New Roman" w:hAnsi="Times New Roman"/>
                <w:i/>
                <w:sz w:val="24"/>
                <w:szCs w:val="24"/>
                <w:lang w:val="uk-UA"/>
              </w:rPr>
            </w:pPr>
            <w:r w:rsidRPr="00150966">
              <w:rPr>
                <w:rFonts w:ascii="Times New Roman" w:hAnsi="Times New Roman"/>
                <w:i/>
                <w:sz w:val="24"/>
                <w:szCs w:val="24"/>
                <w:lang w:val="uk-UA"/>
              </w:rPr>
              <w:t>інші предмети, матеріали та інвентар</w:t>
            </w:r>
          </w:p>
        </w:tc>
        <w:tc>
          <w:tcPr>
            <w:tcW w:w="1701" w:type="dxa"/>
          </w:tcPr>
          <w:p w:rsidR="005B56EC" w:rsidRPr="00150966" w:rsidRDefault="005B56EC" w:rsidP="00150966">
            <w:pPr>
              <w:spacing w:after="0" w:line="240" w:lineRule="auto"/>
              <w:jc w:val="center"/>
              <w:rPr>
                <w:rFonts w:ascii="Times New Roman" w:hAnsi="Times New Roman"/>
                <w:i/>
                <w:sz w:val="24"/>
                <w:szCs w:val="24"/>
                <w:lang w:val="uk-UA"/>
              </w:rPr>
            </w:pPr>
            <w:r w:rsidRPr="00150966">
              <w:rPr>
                <w:rFonts w:ascii="Times New Roman" w:hAnsi="Times New Roman"/>
                <w:i/>
                <w:sz w:val="24"/>
                <w:szCs w:val="24"/>
                <w:lang w:val="uk-UA"/>
              </w:rPr>
              <w:t>986,30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19</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оплата послуг (крім комунальних)</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582,00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20</w:t>
            </w:r>
          </w:p>
        </w:tc>
        <w:tc>
          <w:tcPr>
            <w:tcW w:w="6804"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придбання обладнання довгострокового використання</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9 900,00</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p>
          <w:p w:rsidR="005B56EC" w:rsidRPr="00150966" w:rsidRDefault="005B56EC" w:rsidP="00150966">
            <w:pPr>
              <w:spacing w:after="0" w:line="240" w:lineRule="auto"/>
              <w:rPr>
                <w:rFonts w:ascii="Times New Roman" w:hAnsi="Times New Roman"/>
                <w:sz w:val="24"/>
                <w:szCs w:val="24"/>
                <w:lang w:val="uk-UA"/>
              </w:rPr>
            </w:pPr>
          </w:p>
        </w:tc>
        <w:tc>
          <w:tcPr>
            <w:tcW w:w="6804" w:type="dxa"/>
          </w:tcPr>
          <w:p w:rsidR="005B56EC" w:rsidRPr="00150966" w:rsidRDefault="005B56EC" w:rsidP="00150966">
            <w:pPr>
              <w:spacing w:after="0" w:line="240" w:lineRule="auto"/>
              <w:rPr>
                <w:rFonts w:ascii="Times New Roman" w:hAnsi="Times New Roman"/>
                <w:b/>
                <w:sz w:val="24"/>
                <w:szCs w:val="24"/>
                <w:lang w:val="uk-UA"/>
              </w:rPr>
            </w:pPr>
            <w:r w:rsidRPr="00150966">
              <w:rPr>
                <w:rFonts w:ascii="Times New Roman" w:hAnsi="Times New Roman"/>
                <w:b/>
                <w:sz w:val="24"/>
                <w:szCs w:val="24"/>
                <w:lang w:val="uk-UA"/>
              </w:rPr>
              <w:t>Всього  інших  витрат</w:t>
            </w:r>
          </w:p>
          <w:p w:rsidR="005B56EC" w:rsidRPr="00150966" w:rsidRDefault="005B56EC" w:rsidP="00150966">
            <w:pPr>
              <w:spacing w:after="0" w:line="240" w:lineRule="auto"/>
              <w:rPr>
                <w:rFonts w:ascii="Times New Roman" w:hAnsi="Times New Roman"/>
                <w:b/>
                <w:sz w:val="24"/>
                <w:szCs w:val="24"/>
                <w:lang w:val="uk-UA"/>
              </w:rPr>
            </w:pPr>
            <w:r w:rsidRPr="00150966">
              <w:rPr>
                <w:rFonts w:ascii="Times New Roman" w:hAnsi="Times New Roman"/>
                <w:b/>
                <w:sz w:val="24"/>
                <w:szCs w:val="24"/>
                <w:lang w:val="uk-UA"/>
              </w:rPr>
              <w:t>В т.ч.</w:t>
            </w:r>
          </w:p>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Операційні витрати</w:t>
            </w:r>
          </w:p>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 xml:space="preserve">Придбання основних засобів </w:t>
            </w:r>
          </w:p>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Придбання МНМА</w:t>
            </w:r>
          </w:p>
        </w:tc>
        <w:tc>
          <w:tcPr>
            <w:tcW w:w="1701" w:type="dxa"/>
          </w:tcPr>
          <w:p w:rsidR="005B56EC" w:rsidRPr="00150966" w:rsidRDefault="005B56EC" w:rsidP="00150966">
            <w:pPr>
              <w:spacing w:after="0" w:line="240" w:lineRule="auto"/>
              <w:rPr>
                <w:rFonts w:ascii="Times New Roman" w:hAnsi="Times New Roman"/>
                <w:b/>
                <w:sz w:val="24"/>
                <w:szCs w:val="24"/>
                <w:lang w:val="uk-UA"/>
              </w:rPr>
            </w:pPr>
            <w:r w:rsidRPr="00150966">
              <w:rPr>
                <w:rFonts w:ascii="Times New Roman" w:hAnsi="Times New Roman"/>
                <w:b/>
                <w:sz w:val="24"/>
                <w:szCs w:val="24"/>
                <w:lang w:val="uk-UA"/>
              </w:rPr>
              <w:t xml:space="preserve">    69 369,84</w:t>
            </w:r>
          </w:p>
          <w:p w:rsidR="005B56EC" w:rsidRPr="00150966" w:rsidRDefault="005B56EC" w:rsidP="00150966">
            <w:pPr>
              <w:spacing w:after="0" w:line="240" w:lineRule="auto"/>
              <w:rPr>
                <w:rFonts w:ascii="Times New Roman" w:hAnsi="Times New Roman"/>
                <w:sz w:val="24"/>
                <w:szCs w:val="24"/>
                <w:lang w:val="uk-UA"/>
              </w:rPr>
            </w:pPr>
          </w:p>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59 014,84</w:t>
            </w:r>
          </w:p>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9 900,0</w:t>
            </w:r>
          </w:p>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 xml:space="preserve">455,0               </w:t>
            </w:r>
          </w:p>
        </w:tc>
      </w:tr>
    </w:tbl>
    <w:p w:rsidR="005B56EC" w:rsidRPr="00150966" w:rsidRDefault="005B56EC" w:rsidP="00150966">
      <w:pPr>
        <w:spacing w:after="0" w:line="240" w:lineRule="auto"/>
        <w:jc w:val="center"/>
        <w:rPr>
          <w:rFonts w:ascii="Times New Roman" w:hAnsi="Times New Roman"/>
          <w:b/>
          <w:sz w:val="28"/>
          <w:szCs w:val="28"/>
          <w:lang w:val="uk-UA"/>
        </w:rPr>
      </w:pPr>
      <w:r w:rsidRPr="00150966">
        <w:rPr>
          <w:rFonts w:ascii="Times New Roman" w:hAnsi="Times New Roman"/>
          <w:b/>
          <w:sz w:val="28"/>
          <w:szCs w:val="28"/>
          <w:lang w:val="uk-UA"/>
        </w:rPr>
        <w:t>Обов’язкові платежі підприємства до державного та місцевого бюджетів: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701"/>
      </w:tblGrid>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 з/п</w:t>
            </w:r>
          </w:p>
        </w:tc>
        <w:tc>
          <w:tcPr>
            <w:tcW w:w="6804"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Вид платежів</w:t>
            </w:r>
          </w:p>
        </w:tc>
        <w:tc>
          <w:tcPr>
            <w:tcW w:w="1701"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План 2019рік тис.грн.</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1</w:t>
            </w:r>
          </w:p>
        </w:tc>
        <w:tc>
          <w:tcPr>
            <w:tcW w:w="6804"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ПДВ, що підлягає сплаті до бюджету за підсумками звітного періоду</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191,68</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2</w:t>
            </w:r>
          </w:p>
        </w:tc>
        <w:tc>
          <w:tcPr>
            <w:tcW w:w="6804"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 xml:space="preserve">єдиний внесок на загальнообов'язкове державне соціальне страхування                      </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9 538,82</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3</w:t>
            </w:r>
          </w:p>
        </w:tc>
        <w:tc>
          <w:tcPr>
            <w:tcW w:w="6804"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військовий збір 1,5%</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652,42</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4</w:t>
            </w:r>
          </w:p>
        </w:tc>
        <w:tc>
          <w:tcPr>
            <w:tcW w:w="6804" w:type="dxa"/>
          </w:tcPr>
          <w:p w:rsidR="005B56EC" w:rsidRPr="00150966" w:rsidRDefault="005B56EC" w:rsidP="00150966">
            <w:pPr>
              <w:spacing w:after="0" w:line="240" w:lineRule="auto"/>
              <w:rPr>
                <w:rFonts w:ascii="Times New Roman" w:hAnsi="Times New Roman"/>
                <w:bCs/>
                <w:sz w:val="24"/>
                <w:szCs w:val="24"/>
                <w:lang w:val="uk-UA"/>
              </w:rPr>
            </w:pPr>
            <w:r w:rsidRPr="00150966">
              <w:rPr>
                <w:rFonts w:ascii="Times New Roman" w:hAnsi="Times New Roman"/>
                <w:bCs/>
                <w:sz w:val="24"/>
                <w:szCs w:val="24"/>
                <w:lang w:val="uk-UA"/>
              </w:rPr>
              <w:t>погашення податкового боргу</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2,57</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5</w:t>
            </w:r>
          </w:p>
        </w:tc>
        <w:tc>
          <w:tcPr>
            <w:tcW w:w="6804" w:type="dxa"/>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податок на доходи фізичних осіб</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7 829,08</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6</w:t>
            </w:r>
          </w:p>
        </w:tc>
        <w:tc>
          <w:tcPr>
            <w:tcW w:w="6804" w:type="dxa"/>
            <w:tcBorders>
              <w:top w:val="nil"/>
            </w:tcBorders>
            <w:vAlign w:val="center"/>
          </w:tcPr>
          <w:p w:rsidR="005B56EC" w:rsidRPr="00150966" w:rsidRDefault="005B56EC" w:rsidP="00150966">
            <w:pPr>
              <w:spacing w:after="0" w:line="240" w:lineRule="auto"/>
              <w:rPr>
                <w:rFonts w:ascii="Times New Roman" w:hAnsi="Times New Roman"/>
                <w:sz w:val="24"/>
                <w:szCs w:val="24"/>
                <w:lang w:val="uk-UA"/>
              </w:rPr>
            </w:pPr>
            <w:r w:rsidRPr="00150966">
              <w:rPr>
                <w:rFonts w:ascii="Times New Roman" w:hAnsi="Times New Roman"/>
                <w:sz w:val="24"/>
                <w:szCs w:val="24"/>
                <w:lang w:val="uk-UA"/>
              </w:rPr>
              <w:t>земельний податок</w:t>
            </w:r>
          </w:p>
        </w:tc>
        <w:tc>
          <w:tcPr>
            <w:tcW w:w="1701" w:type="dxa"/>
          </w:tcPr>
          <w:p w:rsidR="005B56EC" w:rsidRPr="00150966" w:rsidRDefault="005B56EC" w:rsidP="00150966">
            <w:pPr>
              <w:spacing w:after="0" w:line="240" w:lineRule="auto"/>
              <w:jc w:val="center"/>
              <w:rPr>
                <w:rFonts w:ascii="Times New Roman" w:hAnsi="Times New Roman"/>
                <w:sz w:val="24"/>
                <w:szCs w:val="24"/>
                <w:lang w:val="uk-UA"/>
              </w:rPr>
            </w:pPr>
            <w:r w:rsidRPr="00150966">
              <w:rPr>
                <w:rFonts w:ascii="Times New Roman" w:hAnsi="Times New Roman"/>
                <w:sz w:val="24"/>
                <w:szCs w:val="24"/>
                <w:lang w:val="uk-UA"/>
              </w:rPr>
              <w:t>99,03</w:t>
            </w:r>
          </w:p>
        </w:tc>
      </w:tr>
      <w:tr w:rsidR="005B56EC" w:rsidRPr="00150966" w:rsidTr="00F65FEE">
        <w:tc>
          <w:tcPr>
            <w:tcW w:w="988" w:type="dxa"/>
          </w:tcPr>
          <w:p w:rsidR="005B56EC" w:rsidRPr="00150966" w:rsidRDefault="005B56EC" w:rsidP="00150966">
            <w:pPr>
              <w:spacing w:after="0" w:line="240" w:lineRule="auto"/>
              <w:rPr>
                <w:rFonts w:ascii="Times New Roman" w:hAnsi="Times New Roman"/>
                <w:sz w:val="24"/>
                <w:szCs w:val="24"/>
                <w:lang w:val="uk-UA"/>
              </w:rPr>
            </w:pPr>
          </w:p>
        </w:tc>
        <w:tc>
          <w:tcPr>
            <w:tcW w:w="6804" w:type="dxa"/>
          </w:tcPr>
          <w:p w:rsidR="005B56EC" w:rsidRPr="00150966" w:rsidRDefault="005B56EC" w:rsidP="00150966">
            <w:pPr>
              <w:spacing w:after="0" w:line="240" w:lineRule="auto"/>
              <w:rPr>
                <w:rFonts w:ascii="Times New Roman" w:hAnsi="Times New Roman"/>
                <w:b/>
                <w:sz w:val="24"/>
                <w:szCs w:val="24"/>
                <w:lang w:val="uk-UA"/>
              </w:rPr>
            </w:pPr>
            <w:r w:rsidRPr="00150966">
              <w:rPr>
                <w:rFonts w:ascii="Times New Roman" w:hAnsi="Times New Roman"/>
                <w:b/>
                <w:sz w:val="24"/>
                <w:szCs w:val="24"/>
                <w:lang w:val="uk-UA"/>
              </w:rPr>
              <w:t xml:space="preserve">Всього  </w:t>
            </w:r>
          </w:p>
        </w:tc>
        <w:tc>
          <w:tcPr>
            <w:tcW w:w="1701" w:type="dxa"/>
          </w:tcPr>
          <w:p w:rsidR="005B56EC" w:rsidRPr="00150966" w:rsidRDefault="005B56EC" w:rsidP="00150966">
            <w:pPr>
              <w:spacing w:after="0" w:line="240" w:lineRule="auto"/>
              <w:jc w:val="center"/>
              <w:rPr>
                <w:rFonts w:ascii="Times New Roman" w:hAnsi="Times New Roman"/>
                <w:b/>
                <w:sz w:val="24"/>
                <w:szCs w:val="24"/>
                <w:lang w:val="uk-UA"/>
              </w:rPr>
            </w:pPr>
            <w:r w:rsidRPr="00150966">
              <w:rPr>
                <w:rFonts w:ascii="Times New Roman" w:hAnsi="Times New Roman"/>
                <w:b/>
                <w:sz w:val="24"/>
                <w:szCs w:val="24"/>
                <w:lang w:val="uk-UA"/>
              </w:rPr>
              <w:t>18 313,60</w:t>
            </w:r>
          </w:p>
        </w:tc>
      </w:tr>
    </w:tbl>
    <w:p w:rsidR="005B56EC" w:rsidRPr="00150966" w:rsidRDefault="005B56EC" w:rsidP="00150966">
      <w:pPr>
        <w:spacing w:after="0" w:line="240" w:lineRule="auto"/>
        <w:rPr>
          <w:rFonts w:ascii="Times New Roman" w:hAnsi="Times New Roman"/>
          <w:sz w:val="28"/>
          <w:szCs w:val="28"/>
          <w:lang w:val="uk-UA"/>
        </w:rPr>
      </w:pPr>
    </w:p>
    <w:p w:rsidR="005B56EC" w:rsidRPr="00150966" w:rsidRDefault="005B56EC" w:rsidP="00AE5C2C">
      <w:pPr>
        <w:spacing w:after="0" w:line="240" w:lineRule="auto"/>
        <w:ind w:firstLine="720"/>
        <w:jc w:val="both"/>
        <w:rPr>
          <w:rFonts w:ascii="Times New Roman" w:hAnsi="Times New Roman"/>
          <w:sz w:val="28"/>
          <w:szCs w:val="28"/>
          <w:lang w:val="uk-UA"/>
        </w:rPr>
      </w:pPr>
      <w:r w:rsidRPr="00150966">
        <w:rPr>
          <w:rFonts w:ascii="Times New Roman" w:hAnsi="Times New Roman"/>
          <w:sz w:val="28"/>
          <w:szCs w:val="28"/>
          <w:lang w:val="uk-UA"/>
        </w:rPr>
        <w:t xml:space="preserve">В результаті діяльності КНП НМР «СМСЧ м.Нетішин» впродовж </w:t>
      </w:r>
      <w:r>
        <w:rPr>
          <w:rFonts w:ascii="Times New Roman" w:hAnsi="Times New Roman"/>
          <w:sz w:val="28"/>
          <w:szCs w:val="28"/>
          <w:lang w:val="uk-UA"/>
        </w:rPr>
        <w:t xml:space="preserve">       </w:t>
      </w:r>
      <w:r w:rsidRPr="00150966">
        <w:rPr>
          <w:rFonts w:ascii="Times New Roman" w:hAnsi="Times New Roman"/>
          <w:sz w:val="28"/>
          <w:szCs w:val="28"/>
          <w:lang w:val="uk-UA"/>
        </w:rPr>
        <w:t>2019 року заплановано, що видатки відповідатимуть доходам, оскільки підприємство фінансується з державного та місцевого бюджетів.</w:t>
      </w:r>
    </w:p>
    <w:p w:rsidR="005B56EC" w:rsidRDefault="005B56EC" w:rsidP="00150966">
      <w:pPr>
        <w:spacing w:after="0" w:line="240" w:lineRule="auto"/>
        <w:rPr>
          <w:rFonts w:ascii="Times New Roman" w:hAnsi="Times New Roman"/>
          <w:sz w:val="28"/>
          <w:szCs w:val="28"/>
          <w:lang w:val="uk-UA"/>
        </w:rPr>
      </w:pPr>
    </w:p>
    <w:p w:rsidR="005B56EC" w:rsidRPr="00150966" w:rsidRDefault="005B56EC" w:rsidP="00150966">
      <w:pPr>
        <w:spacing w:after="0" w:line="240" w:lineRule="auto"/>
        <w:rPr>
          <w:rFonts w:ascii="Times New Roman" w:hAnsi="Times New Roman"/>
          <w:sz w:val="28"/>
          <w:szCs w:val="28"/>
          <w:lang w:val="uk-UA"/>
        </w:rPr>
      </w:pPr>
      <w:r w:rsidRPr="00150966">
        <w:rPr>
          <w:rFonts w:ascii="Times New Roman" w:hAnsi="Times New Roman"/>
          <w:sz w:val="28"/>
          <w:szCs w:val="28"/>
          <w:lang w:val="uk-UA"/>
        </w:rPr>
        <w:t xml:space="preserve">Директор </w:t>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t>В.Н.Пословський</w:t>
      </w:r>
    </w:p>
    <w:p w:rsidR="005B56EC" w:rsidRPr="00150966" w:rsidRDefault="005B56EC" w:rsidP="00150966">
      <w:pPr>
        <w:tabs>
          <w:tab w:val="left" w:pos="708"/>
          <w:tab w:val="left" w:pos="1416"/>
          <w:tab w:val="left" w:pos="2124"/>
        </w:tabs>
        <w:spacing w:after="0" w:line="240" w:lineRule="auto"/>
        <w:rPr>
          <w:rFonts w:ascii="Times New Roman" w:hAnsi="Times New Roman"/>
          <w:sz w:val="28"/>
          <w:szCs w:val="28"/>
          <w:lang w:val="uk-UA"/>
        </w:rPr>
      </w:pPr>
      <w:r w:rsidRPr="00150966">
        <w:rPr>
          <w:rFonts w:ascii="Times New Roman" w:hAnsi="Times New Roman"/>
          <w:sz w:val="28"/>
          <w:szCs w:val="28"/>
          <w:lang w:val="uk-UA"/>
        </w:rPr>
        <w:t>Заступник директора з екомічних питань</w:t>
      </w:r>
      <w:r w:rsidRPr="00150966">
        <w:rPr>
          <w:rFonts w:ascii="Times New Roman" w:hAnsi="Times New Roman"/>
          <w:sz w:val="28"/>
          <w:szCs w:val="28"/>
          <w:lang w:val="uk-UA"/>
        </w:rPr>
        <w:tab/>
        <w:t xml:space="preserve">                        </w:t>
      </w:r>
      <w:r w:rsidRPr="00150966">
        <w:rPr>
          <w:rFonts w:ascii="Times New Roman" w:hAnsi="Times New Roman"/>
          <w:sz w:val="28"/>
          <w:szCs w:val="28"/>
          <w:lang w:val="uk-UA"/>
        </w:rPr>
        <w:tab/>
        <w:t>В.В.</w:t>
      </w:r>
      <w:r>
        <w:rPr>
          <w:rFonts w:ascii="Times New Roman" w:hAnsi="Times New Roman"/>
          <w:sz w:val="28"/>
          <w:szCs w:val="28"/>
          <w:lang w:val="uk-UA"/>
        </w:rPr>
        <w:t>П</w:t>
      </w:r>
      <w:r w:rsidRPr="00150966">
        <w:rPr>
          <w:rFonts w:ascii="Times New Roman" w:hAnsi="Times New Roman"/>
          <w:sz w:val="28"/>
          <w:szCs w:val="28"/>
          <w:lang w:val="uk-UA"/>
        </w:rPr>
        <w:t>арахіна</w:t>
      </w:r>
    </w:p>
    <w:p w:rsidR="005B56EC" w:rsidRPr="00AE5C2C" w:rsidRDefault="005B56EC" w:rsidP="00150966">
      <w:pPr>
        <w:spacing w:after="0" w:line="240" w:lineRule="auto"/>
        <w:rPr>
          <w:rFonts w:ascii="Times New Roman" w:hAnsi="Times New Roman"/>
          <w:b/>
          <w:sz w:val="28"/>
          <w:szCs w:val="28"/>
          <w:lang w:val="uk-UA"/>
        </w:rPr>
      </w:pPr>
      <w:r w:rsidRPr="00150966">
        <w:rPr>
          <w:rFonts w:ascii="Times New Roman" w:hAnsi="Times New Roman"/>
          <w:sz w:val="28"/>
          <w:szCs w:val="28"/>
          <w:lang w:val="uk-UA"/>
        </w:rPr>
        <w:t xml:space="preserve">Головний бухгалтер </w:t>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sidRPr="00150966">
        <w:rPr>
          <w:rFonts w:ascii="Times New Roman" w:hAnsi="Times New Roman"/>
          <w:sz w:val="28"/>
          <w:szCs w:val="28"/>
          <w:lang w:val="uk-UA"/>
        </w:rPr>
        <w:tab/>
      </w:r>
      <w:r>
        <w:rPr>
          <w:rFonts w:ascii="Times New Roman" w:hAnsi="Times New Roman"/>
          <w:sz w:val="28"/>
          <w:szCs w:val="28"/>
          <w:lang w:val="uk-UA"/>
        </w:rPr>
        <w:tab/>
      </w:r>
      <w:r w:rsidRPr="00150966">
        <w:rPr>
          <w:rFonts w:ascii="Times New Roman" w:hAnsi="Times New Roman"/>
          <w:sz w:val="28"/>
          <w:szCs w:val="28"/>
          <w:lang w:val="uk-UA"/>
        </w:rPr>
        <w:tab/>
        <w:t>О.Д.Дем’янюк</w:t>
      </w:r>
    </w:p>
    <w:sectPr w:rsidR="005B56EC" w:rsidRPr="00AE5C2C" w:rsidSect="00987F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33563C"/>
    <w:multiLevelType w:val="hybridMultilevel"/>
    <w:tmpl w:val="4064BE6C"/>
    <w:lvl w:ilvl="0" w:tplc="EF124D56">
      <w:start w:val="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33128"/>
    <w:rsid w:val="00065DEB"/>
    <w:rsid w:val="00090F2B"/>
    <w:rsid w:val="0009748C"/>
    <w:rsid w:val="000B7AE9"/>
    <w:rsid w:val="000C3533"/>
    <w:rsid w:val="000C790E"/>
    <w:rsid w:val="0012041C"/>
    <w:rsid w:val="00150966"/>
    <w:rsid w:val="001816C2"/>
    <w:rsid w:val="00182604"/>
    <w:rsid w:val="001B295E"/>
    <w:rsid w:val="001F4038"/>
    <w:rsid w:val="00233F80"/>
    <w:rsid w:val="00236A3D"/>
    <w:rsid w:val="00256A3F"/>
    <w:rsid w:val="0027510D"/>
    <w:rsid w:val="00295803"/>
    <w:rsid w:val="002A0577"/>
    <w:rsid w:val="002C380E"/>
    <w:rsid w:val="002C5A31"/>
    <w:rsid w:val="002F7F09"/>
    <w:rsid w:val="00303179"/>
    <w:rsid w:val="00322A41"/>
    <w:rsid w:val="00325D0E"/>
    <w:rsid w:val="00333E09"/>
    <w:rsid w:val="00335E22"/>
    <w:rsid w:val="0035171C"/>
    <w:rsid w:val="003926B2"/>
    <w:rsid w:val="00392FED"/>
    <w:rsid w:val="003A4450"/>
    <w:rsid w:val="003A7D9F"/>
    <w:rsid w:val="003C4BCB"/>
    <w:rsid w:val="003E6B0D"/>
    <w:rsid w:val="00431DD2"/>
    <w:rsid w:val="00442F92"/>
    <w:rsid w:val="00465D7B"/>
    <w:rsid w:val="00476140"/>
    <w:rsid w:val="00485572"/>
    <w:rsid w:val="004D3EC9"/>
    <w:rsid w:val="004E7B8D"/>
    <w:rsid w:val="005157E8"/>
    <w:rsid w:val="00526E3D"/>
    <w:rsid w:val="00531E36"/>
    <w:rsid w:val="00541C10"/>
    <w:rsid w:val="00560B02"/>
    <w:rsid w:val="00560C70"/>
    <w:rsid w:val="00573841"/>
    <w:rsid w:val="0058230F"/>
    <w:rsid w:val="005B56EC"/>
    <w:rsid w:val="005E19E7"/>
    <w:rsid w:val="006173B0"/>
    <w:rsid w:val="00637D4C"/>
    <w:rsid w:val="00644678"/>
    <w:rsid w:val="006819D2"/>
    <w:rsid w:val="00696BB2"/>
    <w:rsid w:val="006B3254"/>
    <w:rsid w:val="006C2656"/>
    <w:rsid w:val="006C5FF2"/>
    <w:rsid w:val="006D582F"/>
    <w:rsid w:val="00727FFD"/>
    <w:rsid w:val="00751C21"/>
    <w:rsid w:val="00762544"/>
    <w:rsid w:val="00771017"/>
    <w:rsid w:val="00784EFD"/>
    <w:rsid w:val="007864B0"/>
    <w:rsid w:val="00790006"/>
    <w:rsid w:val="007B3C68"/>
    <w:rsid w:val="00801074"/>
    <w:rsid w:val="0080584F"/>
    <w:rsid w:val="00816694"/>
    <w:rsid w:val="0083515E"/>
    <w:rsid w:val="00862366"/>
    <w:rsid w:val="008653D7"/>
    <w:rsid w:val="00875D53"/>
    <w:rsid w:val="00892C1C"/>
    <w:rsid w:val="008B28FD"/>
    <w:rsid w:val="008C59E4"/>
    <w:rsid w:val="0090532C"/>
    <w:rsid w:val="00924E37"/>
    <w:rsid w:val="0096578F"/>
    <w:rsid w:val="00987F63"/>
    <w:rsid w:val="009A7B05"/>
    <w:rsid w:val="009C37E5"/>
    <w:rsid w:val="009C68E8"/>
    <w:rsid w:val="009D3B52"/>
    <w:rsid w:val="009D5454"/>
    <w:rsid w:val="009F3EC7"/>
    <w:rsid w:val="00A079E3"/>
    <w:rsid w:val="00A5010A"/>
    <w:rsid w:val="00A5411C"/>
    <w:rsid w:val="00A5685E"/>
    <w:rsid w:val="00A83FDC"/>
    <w:rsid w:val="00A91109"/>
    <w:rsid w:val="00AC0DAA"/>
    <w:rsid w:val="00AC51B7"/>
    <w:rsid w:val="00AC6260"/>
    <w:rsid w:val="00AE5C2C"/>
    <w:rsid w:val="00AF18F4"/>
    <w:rsid w:val="00B144B5"/>
    <w:rsid w:val="00B34F42"/>
    <w:rsid w:val="00B5535F"/>
    <w:rsid w:val="00BD026C"/>
    <w:rsid w:val="00C15031"/>
    <w:rsid w:val="00C15BF4"/>
    <w:rsid w:val="00C52F6D"/>
    <w:rsid w:val="00C53A3E"/>
    <w:rsid w:val="00C6757B"/>
    <w:rsid w:val="00C9171E"/>
    <w:rsid w:val="00CB041F"/>
    <w:rsid w:val="00CC06DD"/>
    <w:rsid w:val="00CC7DFC"/>
    <w:rsid w:val="00CD40A7"/>
    <w:rsid w:val="00CF75DE"/>
    <w:rsid w:val="00D43F43"/>
    <w:rsid w:val="00DB5A17"/>
    <w:rsid w:val="00DD1FD3"/>
    <w:rsid w:val="00DD464F"/>
    <w:rsid w:val="00DE14E2"/>
    <w:rsid w:val="00E1529B"/>
    <w:rsid w:val="00E25530"/>
    <w:rsid w:val="00E74212"/>
    <w:rsid w:val="00E96089"/>
    <w:rsid w:val="00F14DFE"/>
    <w:rsid w:val="00F523F2"/>
    <w:rsid w:val="00F54992"/>
    <w:rsid w:val="00F65FEE"/>
    <w:rsid w:val="00F7594E"/>
    <w:rsid w:val="00F763E2"/>
    <w:rsid w:val="00F929E6"/>
    <w:rsid w:val="00FB6678"/>
    <w:rsid w:val="00FC0FE1"/>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2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s>
</file>

<file path=word/webSettings.xml><?xml version="1.0" encoding="utf-8"?>
<w:webSettings xmlns:r="http://schemas.openxmlformats.org/officeDocument/2006/relationships" xmlns:w="http://schemas.openxmlformats.org/wordprocessingml/2006/main">
  <w:divs>
    <w:div w:id="1782334882">
      <w:marLeft w:val="0"/>
      <w:marRight w:val="0"/>
      <w:marTop w:val="0"/>
      <w:marBottom w:val="0"/>
      <w:divBdr>
        <w:top w:val="none" w:sz="0" w:space="0" w:color="auto"/>
        <w:left w:val="none" w:sz="0" w:space="0" w:color="auto"/>
        <w:bottom w:val="none" w:sz="0" w:space="0" w:color="auto"/>
        <w:right w:val="none" w:sz="0" w:space="0" w:color="auto"/>
      </w:divBdr>
    </w:div>
    <w:div w:id="1782334883">
      <w:marLeft w:val="0"/>
      <w:marRight w:val="0"/>
      <w:marTop w:val="0"/>
      <w:marBottom w:val="0"/>
      <w:divBdr>
        <w:top w:val="none" w:sz="0" w:space="0" w:color="auto"/>
        <w:left w:val="none" w:sz="0" w:space="0" w:color="auto"/>
        <w:bottom w:val="none" w:sz="0" w:space="0" w:color="auto"/>
        <w:right w:val="none" w:sz="0" w:space="0" w:color="auto"/>
      </w:divBdr>
    </w:div>
    <w:div w:id="1782334884">
      <w:marLeft w:val="0"/>
      <w:marRight w:val="0"/>
      <w:marTop w:val="0"/>
      <w:marBottom w:val="0"/>
      <w:divBdr>
        <w:top w:val="none" w:sz="0" w:space="0" w:color="auto"/>
        <w:left w:val="none" w:sz="0" w:space="0" w:color="auto"/>
        <w:bottom w:val="none" w:sz="0" w:space="0" w:color="auto"/>
        <w:right w:val="none" w:sz="0" w:space="0" w:color="auto"/>
      </w:divBdr>
    </w:div>
    <w:div w:id="1782334885">
      <w:marLeft w:val="0"/>
      <w:marRight w:val="0"/>
      <w:marTop w:val="0"/>
      <w:marBottom w:val="0"/>
      <w:divBdr>
        <w:top w:val="none" w:sz="0" w:space="0" w:color="auto"/>
        <w:left w:val="none" w:sz="0" w:space="0" w:color="auto"/>
        <w:bottom w:val="none" w:sz="0" w:space="0" w:color="auto"/>
        <w:right w:val="none" w:sz="0" w:space="0" w:color="auto"/>
      </w:divBdr>
    </w:div>
    <w:div w:id="1782334886">
      <w:marLeft w:val="0"/>
      <w:marRight w:val="0"/>
      <w:marTop w:val="0"/>
      <w:marBottom w:val="0"/>
      <w:divBdr>
        <w:top w:val="none" w:sz="0" w:space="0" w:color="auto"/>
        <w:left w:val="none" w:sz="0" w:space="0" w:color="auto"/>
        <w:bottom w:val="none" w:sz="0" w:space="0" w:color="auto"/>
        <w:right w:val="none" w:sz="0" w:space="0" w:color="auto"/>
      </w:divBdr>
    </w:div>
    <w:div w:id="1782334887">
      <w:marLeft w:val="0"/>
      <w:marRight w:val="0"/>
      <w:marTop w:val="0"/>
      <w:marBottom w:val="0"/>
      <w:divBdr>
        <w:top w:val="none" w:sz="0" w:space="0" w:color="auto"/>
        <w:left w:val="none" w:sz="0" w:space="0" w:color="auto"/>
        <w:bottom w:val="none" w:sz="0" w:space="0" w:color="auto"/>
        <w:right w:val="none" w:sz="0" w:space="0" w:color="auto"/>
      </w:divBdr>
    </w:div>
    <w:div w:id="1782334888">
      <w:marLeft w:val="0"/>
      <w:marRight w:val="0"/>
      <w:marTop w:val="0"/>
      <w:marBottom w:val="0"/>
      <w:divBdr>
        <w:top w:val="none" w:sz="0" w:space="0" w:color="auto"/>
        <w:left w:val="none" w:sz="0" w:space="0" w:color="auto"/>
        <w:bottom w:val="none" w:sz="0" w:space="0" w:color="auto"/>
        <w:right w:val="none" w:sz="0" w:space="0" w:color="auto"/>
      </w:divBdr>
    </w:div>
    <w:div w:id="1782334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1019</Words>
  <Characters>5812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3</cp:revision>
  <cp:lastPrinted>2019-05-03T06:59:00Z</cp:lastPrinted>
  <dcterms:created xsi:type="dcterms:W3CDTF">2019-05-03T06:58:00Z</dcterms:created>
  <dcterms:modified xsi:type="dcterms:W3CDTF">2019-05-03T06:59:00Z</dcterms:modified>
</cp:coreProperties>
</file>